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567"/>
        <w:gridCol w:w="850"/>
        <w:gridCol w:w="284"/>
        <w:gridCol w:w="567"/>
        <w:gridCol w:w="1134"/>
      </w:tblGrid>
      <w:tr w:rsidR="00EA0A92" w:rsidTr="008E78D8">
        <w:trPr>
          <w:trHeight w:val="697"/>
        </w:trPr>
        <w:tc>
          <w:tcPr>
            <w:tcW w:w="1843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第一週</w:t>
            </w:r>
          </w:p>
        </w:tc>
        <w:tc>
          <w:tcPr>
            <w:tcW w:w="1701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一</w:t>
            </w:r>
          </w:p>
        </w:tc>
        <w:tc>
          <w:tcPr>
            <w:tcW w:w="1701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三</w:t>
            </w:r>
          </w:p>
        </w:tc>
        <w:tc>
          <w:tcPr>
            <w:tcW w:w="1701" w:type="dxa"/>
            <w:gridSpan w:val="3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四</w:t>
            </w:r>
          </w:p>
        </w:tc>
        <w:tc>
          <w:tcPr>
            <w:tcW w:w="1701" w:type="dxa"/>
            <w:gridSpan w:val="2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  <w:vAlign w:val="center"/>
          </w:tcPr>
          <w:p w:rsidR="008A67E8" w:rsidRPr="00803918" w:rsidRDefault="008A67E8" w:rsidP="00003CBD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Theme="minorEastAsia" w:hAnsiTheme="minorEastAsia" w:hint="eastAsia"/>
                <w:b/>
                <w:color w:val="FFFFFF" w:themeColor="background1"/>
                <w:sz w:val="23"/>
                <w:szCs w:val="23"/>
              </w:rPr>
              <w:t>五</w:t>
            </w:r>
          </w:p>
        </w:tc>
      </w:tr>
      <w:tr w:rsidR="00EA0A92" w:rsidTr="00435426">
        <w:trPr>
          <w:trHeight w:val="1171"/>
        </w:trPr>
        <w:tc>
          <w:tcPr>
            <w:tcW w:w="1843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8A67E8" w:rsidRPr="00803918" w:rsidRDefault="008A67E8" w:rsidP="00003CBD">
            <w:pPr>
              <w:jc w:val="center"/>
              <w:rPr>
                <w:rFonts w:ascii="SimSun" w:eastAsia="SimSun" w:hAnsi="SimSun"/>
                <w:b/>
                <w:color w:val="007944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007944"/>
                <w:sz w:val="23"/>
                <w:szCs w:val="23"/>
              </w:rPr>
              <w:t>早餐</w:t>
            </w:r>
          </w:p>
          <w:p w:rsidR="008A67E8" w:rsidRPr="00803918" w:rsidRDefault="008A67E8" w:rsidP="00003CBD">
            <w:pPr>
              <w:jc w:val="center"/>
              <w:rPr>
                <w:rFonts w:ascii="SimSun" w:eastAsia="SimSun" w:hAnsi="SimSun"/>
                <w:b/>
                <w:color w:val="007944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007944"/>
                <w:sz w:val="23"/>
                <w:szCs w:val="23"/>
              </w:rPr>
              <w:t>上午茶點</w:t>
            </w:r>
          </w:p>
          <w:p w:rsidR="008A67E8" w:rsidRPr="00803918" w:rsidRDefault="008A67E8" w:rsidP="00003CBD">
            <w:pPr>
              <w:jc w:val="center"/>
              <w:rPr>
                <w:rFonts w:ascii="SimSun" w:eastAsia="SimSun" w:hAnsi="SimSun"/>
                <w:b/>
                <w:color w:val="007944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007944"/>
                <w:sz w:val="23"/>
                <w:szCs w:val="23"/>
              </w:rPr>
              <w:t>午餐</w:t>
            </w:r>
          </w:p>
          <w:p w:rsidR="008A67E8" w:rsidRDefault="006469EC" w:rsidP="00003CBD">
            <w:pPr>
              <w:jc w:val="center"/>
            </w:pPr>
            <w:r w:rsidRPr="00803918">
              <w:rPr>
                <w:rFonts w:ascii="SimSun" w:eastAsia="SimSun" w:hAnsi="SimSun" w:hint="eastAsia"/>
                <w:b/>
                <w:color w:val="007944"/>
                <w:sz w:val="23"/>
                <w:szCs w:val="23"/>
              </w:rPr>
              <w:t>下午茶</w:t>
            </w:r>
            <w:r w:rsidR="008A67E8" w:rsidRPr="00803918">
              <w:rPr>
                <w:rFonts w:ascii="SimSun" w:eastAsia="SimSun" w:hAnsi="SimSun" w:hint="eastAsia"/>
                <w:b/>
                <w:color w:val="007944"/>
                <w:sz w:val="23"/>
                <w:szCs w:val="23"/>
              </w:rPr>
              <w:t>點</w:t>
            </w:r>
          </w:p>
        </w:tc>
        <w:tc>
          <w:tcPr>
            <w:tcW w:w="1701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8A67E8" w:rsidRDefault="008A67E8"/>
        </w:tc>
        <w:tc>
          <w:tcPr>
            <w:tcW w:w="1701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8A67E8" w:rsidRDefault="008A67E8"/>
        </w:tc>
        <w:tc>
          <w:tcPr>
            <w:tcW w:w="1701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8A67E8" w:rsidRDefault="008A67E8"/>
        </w:tc>
        <w:tc>
          <w:tcPr>
            <w:tcW w:w="1701" w:type="dxa"/>
            <w:gridSpan w:val="3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8A67E8" w:rsidRDefault="008A67E8"/>
        </w:tc>
        <w:tc>
          <w:tcPr>
            <w:tcW w:w="1701" w:type="dxa"/>
            <w:gridSpan w:val="2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8A67E8" w:rsidRDefault="008A67E8"/>
        </w:tc>
      </w:tr>
      <w:tr w:rsidR="008A67E8" w:rsidTr="00435426">
        <w:trPr>
          <w:trHeight w:val="993"/>
        </w:trPr>
        <w:tc>
          <w:tcPr>
            <w:tcW w:w="10348" w:type="dxa"/>
            <w:gridSpan w:val="9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</w:tcPr>
          <w:p w:rsidR="008A67E8" w:rsidRPr="00E35A11" w:rsidRDefault="008A67E8" w:rsidP="00F94613">
            <w:pPr>
              <w:pStyle w:val="NoteHeading"/>
              <w:jc w:val="left"/>
              <w:rPr>
                <w:rFonts w:ascii="SimSun" w:eastAsia="SimSun" w:hAnsi="SimSun"/>
                <w:b/>
                <w:sz w:val="23"/>
                <w:szCs w:val="23"/>
              </w:rPr>
            </w:pPr>
            <w:r w:rsidRPr="00E35A11">
              <w:rPr>
                <w:rFonts w:ascii="SimSun" w:eastAsia="SimSun" w:hAnsi="SimSun" w:hint="eastAsia"/>
                <w:b/>
                <w:sz w:val="23"/>
                <w:szCs w:val="23"/>
              </w:rPr>
              <w:t>備註</w:t>
            </w:r>
            <w:r w:rsidR="00EA0A92" w:rsidRPr="00E35A11">
              <w:rPr>
                <w:rFonts w:ascii="SimSun" w:eastAsia="SimSun" w:hAnsi="SimSun" w:hint="eastAsia"/>
                <w:b/>
                <w:sz w:val="23"/>
                <w:szCs w:val="23"/>
              </w:rPr>
              <w:t>:</w:t>
            </w:r>
          </w:p>
        </w:tc>
      </w:tr>
      <w:tr w:rsidR="00EA0A92" w:rsidTr="005462E2">
        <w:trPr>
          <w:trHeight w:val="133"/>
        </w:trPr>
        <w:tc>
          <w:tcPr>
            <w:tcW w:w="7513" w:type="dxa"/>
            <w:gridSpan w:val="5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EA0A92" w:rsidRPr="00803918" w:rsidRDefault="00EA0A92" w:rsidP="00DA01C6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bookmarkStart w:id="0" w:name="_GoBack"/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評估項目</w:t>
            </w:r>
            <w:bookmarkEnd w:id="0"/>
            <w:r w:rsidRPr="00803918">
              <w:rPr>
                <w:rFonts w:ascii="SimSun" w:eastAsia="SimSun" w:hAnsi="SimSun" w:cs="微軟正黑體"/>
                <w:b/>
                <w:bCs/>
                <w:color w:val="FFFFFF" w:themeColor="background1"/>
                <w:sz w:val="23"/>
                <w:szCs w:val="23"/>
              </w:rPr>
              <w:t>（請在適當的空格加上</w:t>
            </w:r>
            <w:r w:rsidRPr="00803918">
              <w:rPr>
                <w:rFonts w:ascii="微軟正黑體" w:eastAsia="微軟正黑體" w:hAnsi="微軟正黑體" w:cs="微軟正黑體"/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  <w:r w:rsidRPr="00803918">
              <w:rPr>
                <w:rFonts w:ascii="Wingdings 2" w:eastAsia="Wingdings 2" w:hAnsi="Wingdings 2" w:cs="Wingdings 2"/>
                <w:color w:val="FFFFFF" w:themeColor="background1"/>
                <w:position w:val="2"/>
                <w:sz w:val="23"/>
                <w:szCs w:val="23"/>
              </w:rPr>
              <w:t></w:t>
            </w:r>
            <w:r w:rsidRPr="00803918">
              <w:rPr>
                <w:rFonts w:ascii="Wingdings 2" w:eastAsia="Wingdings 2" w:hAnsi="Wingdings 2" w:cs="Wingdings 2"/>
                <w:color w:val="FFFFFF" w:themeColor="background1"/>
                <w:spacing w:val="-150"/>
                <w:position w:val="2"/>
                <w:sz w:val="23"/>
                <w:szCs w:val="23"/>
              </w:rPr>
              <w:t></w:t>
            </w:r>
            <w:r w:rsidRPr="00803918">
              <w:rPr>
                <w:rFonts w:ascii="SimSun" w:eastAsia="SimSun" w:hAnsi="SimSun" w:cs="微軟正黑體"/>
                <w:b/>
                <w:bCs/>
                <w:color w:val="FFFFFF" w:themeColor="background1"/>
                <w:sz w:val="23"/>
                <w:szCs w:val="23"/>
              </w:rPr>
              <w:t>號）</w:t>
            </w:r>
          </w:p>
        </w:tc>
        <w:tc>
          <w:tcPr>
            <w:tcW w:w="850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EA0A92" w:rsidRPr="00803918" w:rsidRDefault="00EA0A92" w:rsidP="005C7DB7">
            <w:pPr>
              <w:spacing w:line="480" w:lineRule="auto"/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是</w:t>
            </w:r>
          </w:p>
        </w:tc>
        <w:tc>
          <w:tcPr>
            <w:tcW w:w="851" w:type="dxa"/>
            <w:gridSpan w:val="2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EA0A92" w:rsidRPr="00803918" w:rsidRDefault="00EA0A92" w:rsidP="005C7DB7">
            <w:pPr>
              <w:spacing w:line="480" w:lineRule="auto"/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EA0A92" w:rsidRPr="00803918" w:rsidRDefault="00EA0A92" w:rsidP="005C7DB7">
            <w:pPr>
              <w:spacing w:line="480" w:lineRule="auto"/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不適用</w:t>
            </w:r>
          </w:p>
        </w:tc>
      </w:tr>
      <w:tr w:rsidR="00EA0A92" w:rsidTr="00F20E61">
        <w:trPr>
          <w:trHeight w:val="736"/>
        </w:trPr>
        <w:tc>
          <w:tcPr>
            <w:tcW w:w="7513" w:type="dxa"/>
            <w:gridSpan w:val="5"/>
            <w:tcBorders>
              <w:top w:val="single" w:sz="4" w:space="0" w:color="007944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 w:cs="Lucida Sans Unicode"/>
                <w:b/>
                <w:sz w:val="23"/>
                <w:szCs w:val="23"/>
              </w:rPr>
              <w:t>一週內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的早餐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茶點和正餐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食材配搭沒有重複</w:t>
            </w:r>
            <w:r w:rsidR="00164637" w:rsidRPr="00803918">
              <w:rPr>
                <w:rFonts w:ascii="SimSun" w:hAnsi="SimSun" w:hint="eastAsia"/>
                <w:sz w:val="23"/>
                <w:szCs w:val="23"/>
              </w:rPr>
              <w:t>，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並採用時令和能吸引幼兒的食材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7944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7944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rPr>
          <w:trHeight w:val="418"/>
        </w:trPr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每天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的飲品供應大部分以清水為主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Pr="007E5D4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rPr>
          <w:trHeight w:val="848"/>
        </w:trPr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全日制幼稚園及幼兒中心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所供應的膳食中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 xml:space="preserve">每天有供應新鮮水果 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及</w:t>
            </w:r>
            <w:r w:rsidRPr="00803918">
              <w:rPr>
                <w:sz w:val="23"/>
                <w:szCs w:val="23"/>
              </w:rPr>
              <w:t xml:space="preserve"> 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奶品類食物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半日制幼稚園及幼兒中心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所供應的膳食中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每天有供應新鮮水果</w:t>
            </w:r>
            <w:r w:rsidRPr="00803918">
              <w:rPr>
                <w:sz w:val="23"/>
                <w:szCs w:val="23"/>
              </w:rPr>
              <w:t xml:space="preserve"> 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或</w:t>
            </w:r>
            <w:r w:rsidRPr="00803918">
              <w:rPr>
                <w:sz w:val="23"/>
                <w:szCs w:val="23"/>
              </w:rPr>
              <w:t xml:space="preserve"> 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奶品類食物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午餐</w:t>
            </w:r>
            <w:r w:rsidRPr="00803918">
              <w:rPr>
                <w:rFonts w:asciiTheme="minorEastAsia" w:hAnsiTheme="minorEastAsia"/>
                <w:b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晚餐（如適用）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有提供穀物類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蔬菜和肉類（或其代替品</w:t>
            </w:r>
            <w:r w:rsidR="00164637" w:rsidRPr="00803918">
              <w:rPr>
                <w:rFonts w:asciiTheme="minorEastAsia" w:hAnsiTheme="minorEastAsia"/>
                <w:sz w:val="23"/>
                <w:szCs w:val="23"/>
              </w:rPr>
              <w:t>，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如魚</w:t>
            </w:r>
            <w:r w:rsidR="00164637" w:rsidRPr="00803918">
              <w:rPr>
                <w:rFonts w:asciiTheme="minorEastAsia" w:hAnsiTheme="minor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家禽</w:t>
            </w:r>
            <w:r w:rsidR="00164637" w:rsidRPr="00803918">
              <w:rPr>
                <w:rFonts w:asciiTheme="minorEastAsia" w:hAnsiTheme="minor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雞蛋</w:t>
            </w:r>
            <w:r w:rsidR="00164637" w:rsidRPr="00803918">
              <w:rPr>
                <w:rFonts w:asciiTheme="minorEastAsia" w:hAnsiTheme="minor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豆腐</w:t>
            </w:r>
            <w:r w:rsidR="00164637" w:rsidRPr="00803918">
              <w:rPr>
                <w:rFonts w:asciiTheme="minorEastAsia" w:hAnsiTheme="minor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豆類）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每天所供應的食物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已參考表三及表六的建議安排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或已按建議於餐與餐之間作適當的互補和調節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以切合幼兒的營養需要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EA0A92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所有食材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均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不含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咖啡因及人造甜味劑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0F5AFD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含較多鹽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糖的穀物類食物（如炒飯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炒麵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伊麵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酥皮包點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菠蘿包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奶黃包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炸薯條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夾心餅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曲奇餅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蛋糕）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5F5D6B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添加鹽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油或糖的蔬果乾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罐頭蔬果或醃製蔬果（如加糖提子乾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糖漿浸的罐頭水果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加鹽紫菜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雪菜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梅菜）</w:t>
            </w:r>
            <w:r w:rsidRPr="00803918">
              <w:rPr>
                <w:rFonts w:asciiTheme="minorEastAsia" w:hAnsiTheme="minor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rPr>
          <w:trHeight w:val="848"/>
        </w:trPr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5F5D6B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全脂或脂肪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糖分較高的奶品類（如全脂奶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全脂芝士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全脂奶粉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煉奶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淡奶）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EA0A92" w:rsidTr="00F20E61">
        <w:trPr>
          <w:trHeight w:val="844"/>
        </w:trPr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FFFFFF" w:themeFill="background1"/>
          </w:tcPr>
          <w:p w:rsidR="00EA0A92" w:rsidRPr="00803918" w:rsidRDefault="005F5D6B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沒有採用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味精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雞粉和鹽分高的調味料或現成醬汁（如麵豉醬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魚露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照燒汁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白汁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茄汁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以罐頭湯製成的醬汁）烹調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A0A92" w:rsidRDefault="00C96381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F74BBA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FFFFFF" w:themeFill="background1"/>
          </w:tcPr>
          <w:p w:rsidR="00713D0D" w:rsidRPr="00803918" w:rsidRDefault="00F74BBA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ind w:left="482" w:hanging="482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連皮禽肉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脂肪比例較高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加工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醃製或罐頭的肉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魚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蛋及豆類</w:t>
            </w:r>
            <w:r w:rsidRPr="00803918">
              <w:rPr>
                <w:rFonts w:ascii="SimSun" w:eastAsia="SimSun" w:hAnsi="SimSun"/>
                <w:spacing w:val="-65"/>
                <w:sz w:val="23"/>
                <w:szCs w:val="23"/>
              </w:rPr>
              <w:t xml:space="preserve"> 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（如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牛腩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豬頸肉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排骨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豬骨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雞腳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雞翼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3"/>
                <w:sz w:val="23"/>
                <w:szCs w:val="23"/>
              </w:rPr>
              <w:t>火腿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2"/>
                <w:sz w:val="23"/>
                <w:szCs w:val="23"/>
              </w:rPr>
              <w:t>牛丸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2"/>
                <w:sz w:val="23"/>
                <w:szCs w:val="23"/>
              </w:rPr>
              <w:t>腸仔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2"/>
                <w:sz w:val="23"/>
                <w:szCs w:val="23"/>
              </w:rPr>
              <w:t>蟹柳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pacing w:val="2"/>
                <w:sz w:val="23"/>
                <w:szCs w:val="23"/>
              </w:rPr>
              <w:t>叉燒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咸牛肉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現成點心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罐頭油浸吞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拿魚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茄汁豆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皮蛋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素肉）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  <w:p w:rsidR="00C833C2" w:rsidRPr="00803918" w:rsidRDefault="00C833C2" w:rsidP="00C833C2">
            <w:pPr>
              <w:pStyle w:val="NoSpacing"/>
              <w:spacing w:line="276" w:lineRule="auto"/>
              <w:ind w:left="482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3D539F" w:rsidTr="005462E2">
        <w:trPr>
          <w:trHeight w:val="697"/>
        </w:trPr>
        <w:tc>
          <w:tcPr>
            <w:tcW w:w="7513" w:type="dxa"/>
            <w:gridSpan w:val="5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  <w:vAlign w:val="center"/>
          </w:tcPr>
          <w:p w:rsidR="003D539F" w:rsidRPr="00803918" w:rsidRDefault="003D539F" w:rsidP="00DA01C6">
            <w:pPr>
              <w:pStyle w:val="NoSpacing"/>
              <w:spacing w:line="276" w:lineRule="auto"/>
              <w:jc w:val="center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評估項目</w:t>
            </w:r>
            <w:r w:rsidRPr="00803918">
              <w:rPr>
                <w:rFonts w:ascii="SimSun" w:eastAsia="SimSun" w:hAnsi="SimSun" w:cs="微軟正黑體"/>
                <w:b/>
                <w:bCs/>
                <w:color w:val="FFFFFF" w:themeColor="background1"/>
                <w:sz w:val="23"/>
                <w:szCs w:val="23"/>
              </w:rPr>
              <w:t>（請在適當的空格加上</w:t>
            </w:r>
            <w:r w:rsidRPr="00803918">
              <w:rPr>
                <w:rFonts w:ascii="微軟正黑體" w:eastAsia="微軟正黑體" w:hAnsi="微軟正黑體" w:cs="微軟正黑體"/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  <w:r w:rsidRPr="00803918">
              <w:rPr>
                <w:rFonts w:ascii="Wingdings 2" w:eastAsia="Wingdings 2" w:hAnsi="Wingdings 2" w:cs="Wingdings 2"/>
                <w:color w:val="FFFFFF" w:themeColor="background1"/>
                <w:position w:val="2"/>
                <w:sz w:val="23"/>
                <w:szCs w:val="23"/>
              </w:rPr>
              <w:t></w:t>
            </w:r>
            <w:r w:rsidRPr="00803918">
              <w:rPr>
                <w:rFonts w:ascii="Wingdings 2" w:eastAsia="Wingdings 2" w:hAnsi="Wingdings 2" w:cs="Wingdings 2"/>
                <w:color w:val="FFFFFF" w:themeColor="background1"/>
                <w:spacing w:val="-150"/>
                <w:position w:val="2"/>
                <w:sz w:val="23"/>
                <w:szCs w:val="23"/>
              </w:rPr>
              <w:t></w:t>
            </w:r>
            <w:r w:rsidRPr="00803918">
              <w:rPr>
                <w:rFonts w:ascii="SimSun" w:eastAsia="SimSun" w:hAnsi="SimSun" w:cs="微軟正黑體"/>
                <w:b/>
                <w:bCs/>
                <w:color w:val="FFFFFF" w:themeColor="background1"/>
                <w:sz w:val="23"/>
                <w:szCs w:val="23"/>
              </w:rPr>
              <w:t>號）</w:t>
            </w:r>
          </w:p>
        </w:tc>
        <w:tc>
          <w:tcPr>
            <w:tcW w:w="850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3D539F" w:rsidRPr="00803918" w:rsidRDefault="003D539F" w:rsidP="003D539F">
            <w:pPr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是</w:t>
            </w:r>
          </w:p>
        </w:tc>
        <w:tc>
          <w:tcPr>
            <w:tcW w:w="851" w:type="dxa"/>
            <w:gridSpan w:val="2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  <w:vAlign w:val="center"/>
          </w:tcPr>
          <w:p w:rsidR="003D539F" w:rsidRPr="00803918" w:rsidRDefault="003D539F" w:rsidP="003D539F">
            <w:pPr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否</w:t>
            </w:r>
          </w:p>
        </w:tc>
        <w:tc>
          <w:tcPr>
            <w:tcW w:w="1134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  <w:vAlign w:val="center"/>
          </w:tcPr>
          <w:p w:rsidR="003D539F" w:rsidRPr="00803918" w:rsidRDefault="003D539F" w:rsidP="003D539F">
            <w:pPr>
              <w:jc w:val="center"/>
              <w:rPr>
                <w:rFonts w:ascii="SimSun" w:eastAsia="SimSun" w:hAnsi="SimSun"/>
                <w:b/>
                <w:color w:val="FFFFFF" w:themeColor="background1"/>
                <w:sz w:val="23"/>
                <w:szCs w:val="23"/>
              </w:rPr>
            </w:pPr>
            <w:r w:rsidRPr="00803918">
              <w:rPr>
                <w:rFonts w:ascii="SimSun" w:eastAsia="SimSun" w:hAnsi="SimSun" w:hint="eastAsia"/>
                <w:b/>
                <w:color w:val="FFFFFF" w:themeColor="background1"/>
                <w:sz w:val="23"/>
                <w:szCs w:val="23"/>
              </w:rPr>
              <w:t>不適用</w:t>
            </w:r>
          </w:p>
        </w:tc>
      </w:tr>
      <w:tr w:rsidR="00F74BBA" w:rsidTr="00F20E61">
        <w:tc>
          <w:tcPr>
            <w:tcW w:w="7513" w:type="dxa"/>
            <w:gridSpan w:val="5"/>
            <w:tcBorders>
              <w:top w:val="single" w:sz="4" w:space="0" w:color="007944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auto"/>
          </w:tcPr>
          <w:p w:rsidR="00F74BBA" w:rsidRPr="00803918" w:rsidRDefault="00F74BBA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含高飽和脂肪或反式脂肪的油脂類（如牛油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豬油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椰漿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AF67A4" w:rsidRPr="00803918">
              <w:rPr>
                <w:rFonts w:ascii="SimSun" w:eastAsia="SimSun" w:hAnsi="SimSun"/>
                <w:sz w:val="23"/>
                <w:szCs w:val="23"/>
              </w:rPr>
              <w:t>含椰油或棕</w:t>
            </w:r>
            <w:r w:rsidR="00AF67A4" w:rsidRPr="00803918">
              <w:rPr>
                <w:rFonts w:asciiTheme="minorEastAsia" w:hAnsiTheme="minorEastAsia" w:hint="eastAsia"/>
                <w:sz w:val="23"/>
                <w:szCs w:val="23"/>
              </w:rPr>
              <w:t>櫚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油的菜油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含反式脂肪的植物牛油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忌廉）烹調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7944"/>
              <w:left w:val="single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7944"/>
              <w:left w:val="dashSmallGap" w:sz="4" w:space="0" w:color="007944"/>
              <w:bottom w:val="nil"/>
              <w:right w:val="single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F74BBA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auto"/>
          </w:tcPr>
          <w:p w:rsidR="00F74BBA" w:rsidRPr="00803918" w:rsidRDefault="00F74BBA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沒有供應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高糖分的食品及飲品（如啫喱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濃縮果味飲品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汽水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乳酪飲品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乳酸菌飲品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紙包菊花茶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朱古力奶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奶粉以外的即沖飲品）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F74BBA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nil"/>
              <w:right w:val="single" w:sz="4" w:space="0" w:color="007944"/>
            </w:tcBorders>
            <w:shd w:val="clear" w:color="auto" w:fill="auto"/>
          </w:tcPr>
          <w:p w:rsidR="00F74BBA" w:rsidRPr="00803918" w:rsidRDefault="00F74BBA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沒有選用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高脂肪的烹調方法（如油炸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紅燒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酥炸）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並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不含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經油炸處理的食品（如豆卜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枝竹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炸魚蛋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魚腐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、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麵筋）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  <w:tr w:rsidR="00F74BBA" w:rsidTr="00F20E61">
        <w:tc>
          <w:tcPr>
            <w:tcW w:w="7513" w:type="dxa"/>
            <w:gridSpan w:val="5"/>
            <w:tcBorders>
              <w:top w:val="nil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auto"/>
          </w:tcPr>
          <w:p w:rsidR="00F74BBA" w:rsidRPr="00803918" w:rsidRDefault="00F74BBA" w:rsidP="003D539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</w:rPr>
            </w:pPr>
            <w:r w:rsidRPr="00803918">
              <w:rPr>
                <w:rFonts w:ascii="SimSun" w:eastAsia="SimSun" w:hAnsi="SimSun"/>
                <w:sz w:val="23"/>
                <w:szCs w:val="23"/>
              </w:rPr>
              <w:t>已考慮餐單是否適合有特別膳食需要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（如文化或宗教的膳食守則</w:t>
            </w:r>
            <w:r w:rsidRPr="00803918">
              <w:rPr>
                <w:rFonts w:asciiTheme="minorEastAsia" w:hAnsiTheme="minorEastAsia"/>
                <w:b/>
                <w:sz w:val="23"/>
                <w:szCs w:val="23"/>
              </w:rPr>
              <w:t>、</w:t>
            </w:r>
            <w:r w:rsidRPr="00803918">
              <w:rPr>
                <w:rFonts w:ascii="SimSun" w:eastAsia="SimSun" w:hAnsi="SimSun"/>
                <w:b/>
                <w:sz w:val="23"/>
                <w:szCs w:val="23"/>
              </w:rPr>
              <w:t>食物敏感或特別健康狀況）</w:t>
            </w:r>
            <w:r w:rsidRPr="00803918">
              <w:rPr>
                <w:rFonts w:ascii="SimSun" w:eastAsia="SimSun" w:hAnsi="SimSun"/>
                <w:sz w:val="23"/>
                <w:szCs w:val="23"/>
              </w:rPr>
              <w:t>的學童進食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，</w:t>
            </w:r>
            <w:r w:rsidR="00164637" w:rsidRPr="00803918">
              <w:rPr>
                <w:rFonts w:ascii="SimSun" w:eastAsia="SimSun" w:hAnsi="SimSun"/>
                <w:sz w:val="23"/>
                <w:szCs w:val="23"/>
              </w:rPr>
              <w:t>並為他們另作適切的安排</w:t>
            </w:r>
            <w:r w:rsidR="00164637" w:rsidRPr="00803918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F74BBA" w:rsidRDefault="00F74BBA" w:rsidP="00144FF5">
            <w:pPr>
              <w:spacing w:line="276" w:lineRule="auto"/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</w:tr>
    </w:tbl>
    <w:p w:rsidR="005F5D6B" w:rsidRPr="00803918" w:rsidRDefault="00067689" w:rsidP="00887104">
      <w:pPr>
        <w:spacing w:before="89" w:line="282" w:lineRule="auto"/>
        <w:ind w:leftChars="59" w:left="142" w:rightChars="-10" w:right="-24"/>
        <w:jc w:val="both"/>
        <w:rPr>
          <w:rFonts w:ascii="SimSun" w:hAnsi="SimSun" w:cs="SimSun"/>
          <w:color w:val="121212"/>
          <w:sz w:val="23"/>
          <w:szCs w:val="23"/>
        </w:rPr>
      </w:pP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若上列各項全選「是」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，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這周期的餐單已符合《二至六歲幼兒營養指引》內的選材建議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，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屬健康的餐單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。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相反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，</w:t>
      </w:r>
      <w:r w:rsidR="005F5D6B"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若評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估表上出現「否」的選項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，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請參考</w:t>
      </w:r>
      <w:r w:rsidR="001E70C9"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《二至六歲幼兒營養指引》</w:t>
      </w:r>
      <w:r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第一部分及附件三的餐單範例</w:t>
      </w:r>
      <w:r w:rsidR="00164637" w:rsidRPr="00803918">
        <w:rPr>
          <w:rFonts w:asciiTheme="minorEastAsia" w:hAnsiTheme="minorEastAsia" w:cs="SimSun" w:hint="eastAsia"/>
          <w:color w:val="121212"/>
          <w:spacing w:val="1"/>
          <w:sz w:val="23"/>
          <w:szCs w:val="23"/>
        </w:rPr>
        <w:t>，</w:t>
      </w:r>
      <w:r w:rsidR="00164637"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並盡快與相關人士（如家長</w:t>
      </w:r>
      <w:r w:rsidR="00164637" w:rsidRPr="00803918">
        <w:rPr>
          <w:rFonts w:asciiTheme="minorEastAsia" w:hAnsiTheme="minorEastAsia" w:hint="eastAsia"/>
          <w:sz w:val="23"/>
          <w:szCs w:val="23"/>
        </w:rPr>
        <w:t>、</w:t>
      </w:r>
      <w:r w:rsidR="005F5D6B" w:rsidRPr="00803918">
        <w:rPr>
          <w:rFonts w:ascii="SimSun" w:eastAsia="SimSun" w:hAnsi="SimSun" w:cs="SimSun"/>
          <w:color w:val="121212"/>
          <w:spacing w:val="1"/>
          <w:sz w:val="23"/>
          <w:szCs w:val="23"/>
        </w:rPr>
        <w:t>負責</w:t>
      </w:r>
      <w:r w:rsidRPr="00803918">
        <w:rPr>
          <w:rFonts w:ascii="SimSun" w:eastAsia="SimSun" w:hAnsi="SimSun" w:cs="SimSun"/>
          <w:color w:val="121212"/>
          <w:sz w:val="23"/>
          <w:szCs w:val="23"/>
        </w:rPr>
        <w:t>膳食的同工等）溝通改良餐單</w:t>
      </w:r>
      <w:r w:rsidR="00164637" w:rsidRPr="00803918">
        <w:rPr>
          <w:rFonts w:asciiTheme="minorEastAsia" w:hAnsiTheme="minorEastAsia" w:cs="SimSun" w:hint="eastAsia"/>
          <w:color w:val="121212"/>
          <w:sz w:val="23"/>
          <w:szCs w:val="23"/>
        </w:rPr>
        <w:t>，</w:t>
      </w:r>
      <w:r w:rsidRPr="00803918">
        <w:rPr>
          <w:rFonts w:ascii="SimSun" w:eastAsia="SimSun" w:hAnsi="SimSun" w:cs="SimSun"/>
          <w:color w:val="121212"/>
          <w:sz w:val="23"/>
          <w:szCs w:val="23"/>
        </w:rPr>
        <w:t>務</w:t>
      </w:r>
      <w:r w:rsidR="00BC2FD7" w:rsidRPr="00803918">
        <w:rPr>
          <w:rFonts w:ascii="SimSun" w:eastAsia="SimSun" w:hAnsi="SimSun" w:cs="SimSun"/>
          <w:color w:val="121212"/>
          <w:sz w:val="23"/>
          <w:szCs w:val="23"/>
        </w:rPr>
        <w:t>求</w:t>
      </w:r>
      <w:r w:rsidR="00164637" w:rsidRPr="00803918">
        <w:rPr>
          <w:rFonts w:ascii="SimSun" w:eastAsia="SimSun" w:hAnsi="SimSun" w:cs="SimSun"/>
          <w:color w:val="121212"/>
          <w:sz w:val="23"/>
          <w:szCs w:val="23"/>
        </w:rPr>
        <w:t>令餐單更符合健康飲食的原則</w:t>
      </w:r>
      <w:r w:rsidR="00164637" w:rsidRPr="00803918">
        <w:rPr>
          <w:rFonts w:asciiTheme="minorEastAsia" w:hAnsiTheme="minorEastAsia" w:cs="SimSun" w:hint="eastAsia"/>
          <w:color w:val="121212"/>
          <w:sz w:val="23"/>
          <w:szCs w:val="23"/>
        </w:rPr>
        <w:t>。</w:t>
      </w:r>
    </w:p>
    <w:p w:rsidR="00DE1B99" w:rsidRPr="00803918" w:rsidRDefault="00DE1B99" w:rsidP="00DE1B99">
      <w:pPr>
        <w:ind w:leftChars="-118" w:left="-282" w:rightChars="-305" w:right="-732" w:hanging="1"/>
        <w:rPr>
          <w:rFonts w:ascii="SimSun" w:eastAsia="SimSun" w:hAnsi="SimSun"/>
          <w:sz w:val="23"/>
          <w:szCs w:val="23"/>
        </w:rPr>
      </w:pPr>
      <w:r w:rsidRPr="00803918">
        <w:rPr>
          <w:rFonts w:asciiTheme="minorEastAsia" w:hAnsiTheme="minorEastAsia" w:hint="eastAsia"/>
          <w:sz w:val="23"/>
          <w:szCs w:val="23"/>
        </w:rPr>
        <w:t xml:space="preserve">    </w:t>
      </w:r>
      <w:r w:rsidRPr="00803918">
        <w:rPr>
          <w:rFonts w:ascii="SimSun" w:eastAsia="SimSun" w:hAnsi="SimSun" w:hint="eastAsia"/>
          <w:sz w:val="23"/>
          <w:szCs w:val="23"/>
        </w:rPr>
        <w:t>此</w:t>
      </w:r>
      <w:r w:rsidR="00F20E61" w:rsidRPr="00803918">
        <w:rPr>
          <w:rFonts w:ascii="SimSun" w:eastAsia="SimSun" w:hAnsi="SimSun" w:hint="eastAsia"/>
          <w:sz w:val="23"/>
          <w:szCs w:val="23"/>
        </w:rPr>
        <w:t>餐單</w:t>
      </w:r>
      <w:r w:rsidRPr="00803918">
        <w:rPr>
          <w:rFonts w:ascii="SimSun" w:eastAsia="SimSun" w:hAnsi="SimSun" w:hint="eastAsia"/>
          <w:sz w:val="23"/>
          <w:szCs w:val="23"/>
        </w:rPr>
        <w:t>評估表可於以下網址下</w:t>
      </w:r>
      <w:r w:rsidRPr="00803918">
        <w:rPr>
          <w:rFonts w:ascii="SimSun" w:eastAsia="SimSun" w:hAnsi="SimSun"/>
          <w:sz w:val="23"/>
          <w:szCs w:val="23"/>
        </w:rPr>
        <w:t>載</w:t>
      </w:r>
      <w:hyperlink r:id="rId8" w:history="1">
        <w:r w:rsidRPr="00803918">
          <w:rPr>
            <w:rStyle w:val="Hyperlink"/>
            <w:rFonts w:eastAsia="SimSun"/>
            <w:sz w:val="23"/>
            <w:szCs w:val="23"/>
          </w:rPr>
          <w:t>http://www.startsmart.gov.hk/tc/others.aspx?MenuID=57</w:t>
        </w:r>
      </w:hyperlink>
    </w:p>
    <w:p w:rsidR="00DE1B99" w:rsidRPr="00DE1B99" w:rsidRDefault="00DE1B99" w:rsidP="00DE1B99">
      <w:pPr>
        <w:ind w:leftChars="-118" w:left="-282" w:rightChars="-305" w:right="-732" w:hanging="1"/>
        <w:rPr>
          <w:color w:val="121212"/>
          <w:sz w:val="22"/>
        </w:rPr>
      </w:pPr>
    </w:p>
    <w:p w:rsidR="00DE1B99" w:rsidRPr="00DE1B99" w:rsidRDefault="00DE1B99" w:rsidP="00887104">
      <w:pPr>
        <w:spacing w:before="89" w:line="282" w:lineRule="auto"/>
        <w:ind w:leftChars="59" w:left="142" w:rightChars="-10" w:right="-24"/>
        <w:jc w:val="both"/>
        <w:rPr>
          <w:rFonts w:ascii="SimSun" w:hAnsi="SimSun" w:cs="SimSun"/>
          <w:szCs w:val="24"/>
        </w:rPr>
      </w:pPr>
    </w:p>
    <w:p w:rsidR="00EA0A92" w:rsidRPr="00556BEE" w:rsidRDefault="00EA0A92"/>
    <w:sectPr w:rsidR="00EA0A92" w:rsidRPr="00556BEE" w:rsidSect="00F74BBA">
      <w:headerReference w:type="default" r:id="rId9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55" w:rsidRDefault="00695555" w:rsidP="00864FF5">
      <w:r>
        <w:separator/>
      </w:r>
    </w:p>
  </w:endnote>
  <w:endnote w:type="continuationSeparator" w:id="0">
    <w:p w:rsidR="00695555" w:rsidRDefault="00695555" w:rsidP="008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55" w:rsidRDefault="00695555" w:rsidP="00864FF5">
      <w:r>
        <w:separator/>
      </w:r>
    </w:p>
  </w:footnote>
  <w:footnote w:type="continuationSeparator" w:id="0">
    <w:p w:rsidR="00695555" w:rsidRDefault="00695555" w:rsidP="0086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single" w:sz="4" w:space="0" w:color="8064A2"/>
        <w:left w:val="none" w:sz="0" w:space="0" w:color="auto"/>
        <w:bottom w:val="single" w:sz="4" w:space="0" w:color="8064A2"/>
        <w:right w:val="single" w:sz="4" w:space="0" w:color="8064A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1"/>
    </w:tblGrid>
    <w:tr w:rsidR="005462E2" w:rsidTr="005462E2">
      <w:trPr>
        <w:trHeight w:val="595"/>
        <w:jc w:val="center"/>
      </w:trPr>
      <w:tc>
        <w:tcPr>
          <w:tcW w:w="10348" w:type="dxa"/>
          <w:shd w:val="clear" w:color="auto" w:fill="8064A2"/>
          <w:vAlign w:val="center"/>
        </w:tcPr>
        <w:p w:rsidR="005462E2" w:rsidRPr="00803918" w:rsidRDefault="005462E2" w:rsidP="005462E2">
          <w:pPr>
            <w:pStyle w:val="Header"/>
            <w:ind w:rightChars="-116" w:right="-278"/>
            <w:jc w:val="center"/>
            <w:rPr>
              <w:rFonts w:asciiTheme="minorEastAsia" w:hAnsiTheme="minorEastAsia"/>
            </w:rPr>
          </w:pPr>
          <w:r w:rsidRPr="00803918">
            <w:rPr>
              <w:rFonts w:asciiTheme="minorEastAsia" w:hAnsiTheme="minorEastAsia" w:hint="eastAsia"/>
              <w:b/>
              <w:color w:val="FFFFFF" w:themeColor="background1"/>
              <w:sz w:val="36"/>
              <w:szCs w:val="36"/>
            </w:rPr>
            <w:t>「幼營喜動校園」</w:t>
          </w:r>
          <w:r w:rsidRPr="00803918">
            <w:rPr>
              <w:rFonts w:asciiTheme="minorEastAsia" w:hAnsiTheme="minorEastAsia" w:cs="微軟正黑體"/>
              <w:b/>
              <w:bCs/>
              <w:color w:val="FFFFFF" w:themeColor="background1"/>
              <w:sz w:val="36"/>
              <w:szCs w:val="36"/>
            </w:rPr>
            <w:t>餐單評估表</w:t>
          </w:r>
        </w:p>
      </w:tc>
    </w:tr>
  </w:tbl>
  <w:p w:rsidR="00864FF5" w:rsidRPr="00864FF5" w:rsidRDefault="005462E2">
    <w:pPr>
      <w:pStyle w:val="Header"/>
    </w:pPr>
    <w:r w:rsidRPr="002E1D74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3744F3E" wp14:editId="4010B858">
          <wp:simplePos x="0" y="0"/>
          <wp:positionH relativeFrom="margin">
            <wp:posOffset>0</wp:posOffset>
          </wp:positionH>
          <wp:positionV relativeFrom="paragraph">
            <wp:posOffset>-427990</wp:posOffset>
          </wp:positionV>
          <wp:extent cx="1479550" cy="424180"/>
          <wp:effectExtent l="0" t="0" r="6350" b="0"/>
          <wp:wrapNone/>
          <wp:docPr id="1" name="Picture 0" descr="startsmar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rtsmart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AE2"/>
    <w:multiLevelType w:val="hybridMultilevel"/>
    <w:tmpl w:val="AC84B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24F61"/>
    <w:multiLevelType w:val="hybridMultilevel"/>
    <w:tmpl w:val="775EB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B67C9"/>
    <w:multiLevelType w:val="hybridMultilevel"/>
    <w:tmpl w:val="195E8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E8"/>
    <w:rsid w:val="00003CBD"/>
    <w:rsid w:val="000605D1"/>
    <w:rsid w:val="00067689"/>
    <w:rsid w:val="0009704C"/>
    <w:rsid w:val="000F5AFD"/>
    <w:rsid w:val="001404BD"/>
    <w:rsid w:val="00144FF5"/>
    <w:rsid w:val="00164637"/>
    <w:rsid w:val="001E70C9"/>
    <w:rsid w:val="00214BCA"/>
    <w:rsid w:val="0025081F"/>
    <w:rsid w:val="003D539F"/>
    <w:rsid w:val="00435426"/>
    <w:rsid w:val="004B066B"/>
    <w:rsid w:val="00514186"/>
    <w:rsid w:val="00520475"/>
    <w:rsid w:val="005462E2"/>
    <w:rsid w:val="00556BEE"/>
    <w:rsid w:val="005C7DB7"/>
    <w:rsid w:val="005E6F81"/>
    <w:rsid w:val="005F5D6B"/>
    <w:rsid w:val="00641EE9"/>
    <w:rsid w:val="006469EC"/>
    <w:rsid w:val="0065005B"/>
    <w:rsid w:val="0068064B"/>
    <w:rsid w:val="00695555"/>
    <w:rsid w:val="00713D0D"/>
    <w:rsid w:val="007A236B"/>
    <w:rsid w:val="007B3672"/>
    <w:rsid w:val="007E5D42"/>
    <w:rsid w:val="00803918"/>
    <w:rsid w:val="008341AA"/>
    <w:rsid w:val="00864FF5"/>
    <w:rsid w:val="00887104"/>
    <w:rsid w:val="008A67E8"/>
    <w:rsid w:val="008C581E"/>
    <w:rsid w:val="008E78D8"/>
    <w:rsid w:val="009B434F"/>
    <w:rsid w:val="00AE55D7"/>
    <w:rsid w:val="00AF039E"/>
    <w:rsid w:val="00AF67A4"/>
    <w:rsid w:val="00BC2FD7"/>
    <w:rsid w:val="00C55940"/>
    <w:rsid w:val="00C833C2"/>
    <w:rsid w:val="00C96381"/>
    <w:rsid w:val="00C96EBD"/>
    <w:rsid w:val="00CE3C43"/>
    <w:rsid w:val="00D11740"/>
    <w:rsid w:val="00DA01C6"/>
    <w:rsid w:val="00DE1B99"/>
    <w:rsid w:val="00DF095A"/>
    <w:rsid w:val="00E1343A"/>
    <w:rsid w:val="00E35A11"/>
    <w:rsid w:val="00EA0A92"/>
    <w:rsid w:val="00F20E61"/>
    <w:rsid w:val="00F46104"/>
    <w:rsid w:val="00F74BBA"/>
    <w:rsid w:val="00F94613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D93F113-5F17-4438-B144-C12AE39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A67E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A67E8"/>
  </w:style>
  <w:style w:type="paragraph" w:styleId="Closing">
    <w:name w:val="Closing"/>
    <w:basedOn w:val="Normal"/>
    <w:link w:val="ClosingChar"/>
    <w:uiPriority w:val="99"/>
    <w:unhideWhenUsed/>
    <w:rsid w:val="008A67E8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8A67E8"/>
  </w:style>
  <w:style w:type="paragraph" w:styleId="ListParagraph">
    <w:name w:val="List Paragraph"/>
    <w:basedOn w:val="Normal"/>
    <w:uiPriority w:val="34"/>
    <w:qFormat/>
    <w:rsid w:val="00EA0A9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6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4FF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4F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8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1E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7E5D42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DE1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smart.gov.hk/tc/others.aspx?MenuID=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020D-D3FA-46A5-B593-C33DB4C4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評估項目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評估項目</dc:title>
  <dc:subject>主頁 評估項目</dc:subject>
  <dc:creator>香港特別行政區政府, 衞生署</dc:creator>
  <cp:keywords>評估項目; 香港特別行政區政府, 衞生署; 香港特別行政區政府, 衞生署 幼營喜動校園計劃</cp:keywords>
  <dc:description/>
  <cp:lastModifiedBy>psohp14</cp:lastModifiedBy>
  <cp:revision>2</cp:revision>
  <cp:lastPrinted>2018-01-29T07:13:00Z</cp:lastPrinted>
  <dcterms:created xsi:type="dcterms:W3CDTF">2018-02-06T06:40:00Z</dcterms:created>
  <dcterms:modified xsi:type="dcterms:W3CDTF">2018-02-06T06:40:00Z</dcterms:modified>
</cp:coreProperties>
</file>